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85AAB" w14:textId="77777777" w:rsidR="00E25E25" w:rsidRPr="00EA2B6F" w:rsidRDefault="00E25E25" w:rsidP="00E25E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EA2B6F">
        <w:rPr>
          <w:rFonts w:ascii="Corbel" w:hAnsi="Corbel"/>
          <w:b/>
          <w:bCs/>
        </w:rPr>
        <w:t xml:space="preserve">   </w:t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 w:cs="Corbel"/>
          <w:bCs/>
          <w:i/>
        </w:rPr>
        <w:t>Załącznik nr 1.5 do Zarządzenia Rektora UR  nr 12/2019</w:t>
      </w:r>
    </w:p>
    <w:p w14:paraId="0BCB328F" w14:textId="77777777" w:rsidR="00E25E25" w:rsidRPr="00EA2B6F" w:rsidRDefault="00E25E25" w:rsidP="00E25E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EA2B6F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0D5F42BD" w14:textId="77777777" w:rsidR="00E25E25" w:rsidRPr="00EA2B6F" w:rsidRDefault="00E25E25" w:rsidP="00E25E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EA2B6F">
        <w:rPr>
          <w:rFonts w:ascii="Corbel" w:hAnsi="Corbel" w:cs="Corbel"/>
          <w:b/>
          <w:smallCaps/>
          <w:sz w:val="24"/>
          <w:szCs w:val="24"/>
        </w:rPr>
        <w:t>dotyczy cyklu kształcenia  2021/2022 – 2025/2026</w:t>
      </w:r>
    </w:p>
    <w:p w14:paraId="1A8FF546" w14:textId="227CAD47" w:rsidR="00E25E25" w:rsidRPr="00EA2B6F" w:rsidRDefault="00E25E25" w:rsidP="00E25E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EA2B6F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</w:t>
      </w:r>
      <w:r w:rsidR="00EA2B6F" w:rsidRPr="00EA2B6F">
        <w:rPr>
          <w:rFonts w:ascii="Corbel" w:hAnsi="Corbel" w:cs="Corbel"/>
          <w:i/>
          <w:sz w:val="24"/>
          <w:szCs w:val="24"/>
        </w:rPr>
        <w:tab/>
      </w:r>
      <w:r w:rsidR="00EA2B6F" w:rsidRPr="00EA2B6F">
        <w:rPr>
          <w:rFonts w:ascii="Corbel" w:hAnsi="Corbel" w:cs="Corbel"/>
          <w:i/>
          <w:sz w:val="24"/>
          <w:szCs w:val="24"/>
        </w:rPr>
        <w:tab/>
        <w:t>(skrajne daty)</w:t>
      </w:r>
      <w:r w:rsidRPr="00EA2B6F">
        <w:rPr>
          <w:rFonts w:ascii="Corbel" w:hAnsi="Corbel" w:cs="Corbel"/>
          <w:i/>
          <w:sz w:val="24"/>
          <w:szCs w:val="24"/>
        </w:rPr>
        <w:t xml:space="preserve">             </w:t>
      </w:r>
    </w:p>
    <w:p w14:paraId="1FC14324" w14:textId="7B3E7108" w:rsidR="00E25E25" w:rsidRPr="00EA2B6F" w:rsidRDefault="00E25E25" w:rsidP="00E25E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="00EA2B6F"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>Rok akademicki 2024</w:t>
      </w:r>
      <w:r w:rsidR="0058160E">
        <w:rPr>
          <w:rFonts w:ascii="Corbel" w:hAnsi="Corbel" w:cs="Corbel"/>
          <w:sz w:val="20"/>
          <w:szCs w:val="20"/>
        </w:rPr>
        <w:t>/2025</w:t>
      </w:r>
    </w:p>
    <w:p w14:paraId="54398535" w14:textId="77777777" w:rsidR="00E25E25" w:rsidRPr="00EA2B6F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DB826E2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E25E25" w:rsidRPr="00EA2B6F" w14:paraId="036DA54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883C4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E3F9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EA2B6F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sądowo-administracyjne</w:t>
            </w:r>
          </w:p>
        </w:tc>
      </w:tr>
      <w:tr w:rsidR="00E25E25" w:rsidRPr="00EA2B6F" w14:paraId="3DC55CD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A0B6E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39C1" w14:textId="77777777" w:rsidR="00E25E25" w:rsidRPr="00EA2B6F" w:rsidRDefault="00E25E25" w:rsidP="00977F3C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E25E25" w:rsidRPr="00EA2B6F" w14:paraId="6C5D50DA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7284D" w14:textId="77777777" w:rsidR="00E25E25" w:rsidRPr="00EA2B6F" w:rsidRDefault="00E25E25" w:rsidP="00977F3C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F267" w14:textId="77777777" w:rsidR="00E25E25" w:rsidRPr="00EA2B6F" w:rsidRDefault="00E25E25" w:rsidP="00977F3C">
            <w:pPr>
              <w:spacing w:before="100" w:after="10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E25E25" w:rsidRPr="00EA2B6F" w14:paraId="0EC03FA3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3A9B7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A852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E25E25" w:rsidRPr="00EA2B6F" w14:paraId="344E83E3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0EA2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1C18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E25E25" w:rsidRPr="00EA2B6F" w14:paraId="372EC98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66209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BC5C4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E25E25" w:rsidRPr="00EA2B6F" w14:paraId="6BEA946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5BA93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6947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E25E25" w:rsidRPr="00EA2B6F" w14:paraId="71B3723C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BCB19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40D7" w14:textId="2EB16A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Niestacjonarne</w:t>
            </w:r>
          </w:p>
        </w:tc>
      </w:tr>
      <w:tr w:rsidR="00E25E25" w:rsidRPr="00EA2B6F" w14:paraId="7333A05E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6B00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9494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EA2B6F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E25E25" w:rsidRPr="00EA2B6F" w14:paraId="3304688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C359B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2DBC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Fakultatywny</w:t>
            </w:r>
          </w:p>
        </w:tc>
      </w:tr>
      <w:tr w:rsidR="00E25E25" w:rsidRPr="00EA2B6F" w14:paraId="69B298A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9E338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ECAB0" w14:textId="77777777" w:rsidR="00E25E25" w:rsidRPr="00EA2B6F" w:rsidRDefault="00E25E25" w:rsidP="00977F3C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E25E25" w:rsidRPr="00EA2B6F" w14:paraId="1EDD95F9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3867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67B7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E25E25" w:rsidRPr="00EA2B6F" w14:paraId="6DD1683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F37AA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7562A" w14:textId="77777777" w:rsidR="00E25E25" w:rsidRPr="00EA2B6F" w:rsidRDefault="00E25E25" w:rsidP="00977F3C">
            <w:pPr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1596FEF6" w14:textId="77777777" w:rsidR="00E25E25" w:rsidRPr="00EA2B6F" w:rsidRDefault="00E25E25" w:rsidP="00E25E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 xml:space="preserve">* </w:t>
      </w:r>
      <w:r w:rsidRPr="00EA2B6F">
        <w:rPr>
          <w:rFonts w:ascii="Corbel" w:hAnsi="Corbel" w:cs="Corbel"/>
          <w:i/>
          <w:sz w:val="24"/>
          <w:szCs w:val="24"/>
        </w:rPr>
        <w:t>-</w:t>
      </w:r>
      <w:r w:rsidRPr="00EA2B6F">
        <w:rPr>
          <w:rFonts w:ascii="Corbel" w:hAnsi="Corbel" w:cs="Corbel"/>
          <w:b w:val="0"/>
          <w:i/>
          <w:sz w:val="24"/>
          <w:szCs w:val="24"/>
        </w:rPr>
        <w:t>opcjonalni</w:t>
      </w:r>
      <w:r w:rsidRPr="00EA2B6F">
        <w:rPr>
          <w:rFonts w:ascii="Corbel" w:hAnsi="Corbel" w:cs="Corbel"/>
          <w:b w:val="0"/>
          <w:sz w:val="24"/>
          <w:szCs w:val="24"/>
        </w:rPr>
        <w:t>e,</w:t>
      </w:r>
      <w:r w:rsidRPr="00EA2B6F">
        <w:rPr>
          <w:rFonts w:ascii="Corbel" w:hAnsi="Corbel" w:cs="Corbel"/>
          <w:i/>
          <w:sz w:val="24"/>
          <w:szCs w:val="24"/>
        </w:rPr>
        <w:t xml:space="preserve"> </w:t>
      </w:r>
      <w:r w:rsidRPr="00EA2B6F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CBFF137" w14:textId="77777777" w:rsidR="00E25E25" w:rsidRPr="00EA2B6F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A95C09E" w14:textId="77777777" w:rsidR="00E25E25" w:rsidRPr="00EA2B6F" w:rsidRDefault="00E25E25" w:rsidP="00E25E25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6E0B4DFB" w14:textId="77777777" w:rsidR="00E25E25" w:rsidRPr="00EA2B6F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E25E25" w:rsidRPr="00EA2B6F" w14:paraId="3407EFD9" w14:textId="77777777" w:rsidTr="00EA2B6F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B753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Semestr</w:t>
            </w:r>
          </w:p>
          <w:p w14:paraId="2C8BBEE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87A0B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EB9B6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73A0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B1B1A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A37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D3B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6F7FD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4883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8D2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E25E25" w:rsidRPr="00EA2B6F" w14:paraId="213E1438" w14:textId="77777777" w:rsidTr="00EA2B6F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92EE6" w14:textId="77777777" w:rsidR="00E25E25" w:rsidRPr="00EA2B6F" w:rsidRDefault="00E25E25" w:rsidP="00977F3C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V</w:t>
            </w:r>
            <w:r w:rsidRPr="00EA2B6F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909F1" w14:textId="77777777" w:rsidR="00E25E25" w:rsidRPr="00EA2B6F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F3AF7" w14:textId="77777777" w:rsidR="00E25E25" w:rsidRPr="00EA2B6F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5FC74" w14:textId="45FA989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2EF8A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C75A6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A2617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41075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812A6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4259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4E90776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3AD019B3" w14:textId="77777777" w:rsidR="00E25E25" w:rsidRPr="00EA2B6F" w:rsidRDefault="00E25E25" w:rsidP="00E25E25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1.2.</w:t>
      </w:r>
      <w:r w:rsidRPr="00EA2B6F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5C76CE14" w14:textId="77777777" w:rsidR="00E25E25" w:rsidRPr="00EA2B6F" w:rsidRDefault="00E25E25" w:rsidP="00E25E2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EA2B6F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54CCBE3D" w14:textId="77777777" w:rsidR="00E25E25" w:rsidRPr="00EA2B6F" w:rsidRDefault="00E25E25" w:rsidP="00E25E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EA2B6F">
        <w:rPr>
          <w:rFonts w:ascii="Corbel" w:eastAsia="MS Gothic" w:hAnsi="Corbel" w:cs="MS Gothic"/>
          <w:b w:val="0"/>
          <w:szCs w:val="24"/>
        </w:rPr>
        <w:t>x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AB165B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378585FD" w14:textId="77777777" w:rsidR="00E25E25" w:rsidRPr="00EA2B6F" w:rsidRDefault="00E25E25" w:rsidP="00E25E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EA2B6F">
        <w:rPr>
          <w:rFonts w:ascii="Corbel" w:hAnsi="Corbel" w:cs="Corbel"/>
          <w:smallCaps w:val="0"/>
          <w:szCs w:val="24"/>
        </w:rPr>
        <w:t xml:space="preserve">1.3 </w:t>
      </w:r>
      <w:r w:rsidRPr="00EA2B6F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EA2B6F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0154ED5F" w14:textId="77777777" w:rsidR="00EA2B6F" w:rsidRPr="00EA2B6F" w:rsidRDefault="00EA2B6F" w:rsidP="00E25E25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8720817" w14:textId="44295955" w:rsidR="00E25E25" w:rsidRPr="00EA2B6F" w:rsidRDefault="00E25E25" w:rsidP="00E25E25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mallCaps/>
          <w:kern w:val="1"/>
          <w:sz w:val="24"/>
          <w:szCs w:val="24"/>
        </w:rPr>
        <w:t xml:space="preserve">W przypadku konwersatorium zaliczenie na ocenę w formie pisemnej lub ustnej. </w:t>
      </w:r>
    </w:p>
    <w:p w14:paraId="69AD114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F7CB01A" w14:textId="66474E0C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 xml:space="preserve">2.Wymagania wstępne </w:t>
      </w:r>
    </w:p>
    <w:p w14:paraId="588A13E0" w14:textId="77777777" w:rsidR="00EA2B6F" w:rsidRPr="00EA2B6F" w:rsidRDefault="00EA2B6F" w:rsidP="00E25E25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RPr="00EA2B6F" w14:paraId="5533FF9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5217" w14:textId="7C2D05E0" w:rsidR="00E25E25" w:rsidRPr="00EA2B6F" w:rsidRDefault="00E25E25" w:rsidP="00EA2B6F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prawoznawstwa, Postępowanie administracyjne.</w:t>
            </w:r>
          </w:p>
        </w:tc>
      </w:tr>
    </w:tbl>
    <w:p w14:paraId="46E034E4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259F92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70B81D5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24A7A14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>3.1 Cele przedmiotu</w:t>
      </w:r>
    </w:p>
    <w:p w14:paraId="5E3A4B9F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663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E25E25" w:rsidRPr="00EA2B6F" w14:paraId="2AB95AC2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7D89E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E2335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sądowo-administracyjnego. </w:t>
            </w:r>
          </w:p>
        </w:tc>
      </w:tr>
      <w:tr w:rsidR="00E25E25" w:rsidRPr="00EA2B6F" w14:paraId="317047C4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B884A" w14:textId="77777777" w:rsidR="00E25E25" w:rsidRPr="00EA2B6F" w:rsidRDefault="00E25E25" w:rsidP="00977F3C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4C9F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sądowo-administracyjnej.</w:t>
            </w:r>
          </w:p>
        </w:tc>
      </w:tr>
      <w:tr w:rsidR="00E25E25" w:rsidRPr="00EA2B6F" w14:paraId="3A1EE723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FDD3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F5666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  <w:p w14:paraId="0F228397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02907D8C" w14:textId="77777777" w:rsidR="00EA2B6F" w:rsidRPr="00EA2B6F" w:rsidRDefault="00EA2B6F" w:rsidP="00E25E25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E95F4CB" w14:textId="6A315B82" w:rsidR="00E25E25" w:rsidRPr="00EA2B6F" w:rsidRDefault="00E25E25" w:rsidP="00E25E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>3.2 Efekty uczenia się dla przedmiotu</w:t>
      </w:r>
      <w:r w:rsidRPr="00EA2B6F">
        <w:rPr>
          <w:rFonts w:ascii="Corbel" w:hAnsi="Corbel" w:cs="Corbel"/>
          <w:sz w:val="24"/>
          <w:szCs w:val="24"/>
        </w:rPr>
        <w:t xml:space="preserve"> </w:t>
      </w:r>
    </w:p>
    <w:p w14:paraId="69DCE9BC" w14:textId="77777777" w:rsidR="00E25E25" w:rsidRPr="00EA2B6F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E25E25" w:rsidRPr="00EA2B6F" w14:paraId="052AE2B0" w14:textId="77777777" w:rsidTr="00977F3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FB0E7" w14:textId="05FF855A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  <w:r w:rsidRPr="00EA2B6F">
              <w:rPr>
                <w:rFonts w:ascii="Corbel" w:hAnsi="Corbel"/>
                <w:b/>
              </w:rPr>
              <w:t>EK</w:t>
            </w:r>
            <w:r w:rsidRPr="00EA2B6F">
              <w:rPr>
                <w:rFonts w:ascii="Corbel" w:hAnsi="Corbel"/>
              </w:rPr>
              <w:t xml:space="preserve"> (efekt </w:t>
            </w:r>
            <w:r w:rsidR="008547DF" w:rsidRPr="00EA2B6F">
              <w:rPr>
                <w:rFonts w:ascii="Corbel" w:hAnsi="Corbel"/>
              </w:rPr>
              <w:t>uczenia się</w:t>
            </w:r>
            <w:r w:rsidRPr="00EA2B6F">
              <w:rPr>
                <w:rFonts w:ascii="Corbel" w:hAnsi="Corbel"/>
              </w:rPr>
              <w:t>)</w:t>
            </w:r>
          </w:p>
          <w:p w14:paraId="1E32856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59BF0" w14:textId="71052D7B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Treść efektu </w:t>
            </w:r>
            <w:r w:rsidR="008547DF" w:rsidRPr="00EA2B6F">
              <w:rPr>
                <w:rFonts w:ascii="Corbel" w:hAnsi="Corbel"/>
              </w:rPr>
              <w:t xml:space="preserve">uczenia się </w:t>
            </w:r>
            <w:r w:rsidRPr="00EA2B6F">
              <w:rPr>
                <w:rFonts w:ascii="Corbel" w:hAnsi="Corbel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0AE6" w14:textId="4685EEDC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Odniesienie do efektów  kierunkowych</w:t>
            </w:r>
          </w:p>
        </w:tc>
      </w:tr>
      <w:tr w:rsidR="00E25E25" w:rsidRPr="00EA2B6F" w14:paraId="336F2D6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73834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</w:t>
            </w:r>
            <w:r w:rsidRPr="00EA2B6F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3FA8F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Wymienia poszczególne etapy i instytucje procedury sądowo-administracyjnej.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0075A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K_W03</w:t>
            </w:r>
          </w:p>
          <w:p w14:paraId="71570BD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E25E25" w:rsidRPr="00EA2B6F" w14:paraId="58284D43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7AB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D8DB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Wyjaśnia znaczenie zasad, norm, reguł i instytucji prawnych w zakresie procedury sądowo-administracyjnej, których celem jest ujednolicenie wyników interpretacji przepisów prawa przez 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4BEA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7987572D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E25E25" w:rsidRPr="00EA2B6F" w14:paraId="49AF7D8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DD2E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9FF62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Definiuje kluczowe pojęcia procedury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2BF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K_W06</w:t>
            </w:r>
          </w:p>
        </w:tc>
      </w:tr>
      <w:tr w:rsidR="00E25E25" w:rsidRPr="00EA2B6F" w14:paraId="4F9143EC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E634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2809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01E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K_W10, K_W12,</w:t>
            </w:r>
          </w:p>
        </w:tc>
      </w:tr>
      <w:tr w:rsidR="00E25E25" w:rsidRPr="00EA2B6F" w14:paraId="5FC2DAC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822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448B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5B7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K_W05, K_W07,</w:t>
            </w:r>
          </w:p>
        </w:tc>
      </w:tr>
      <w:tr w:rsidR="00E25E25" w:rsidRPr="00EA2B6F" w14:paraId="6EE0A38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13275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84A0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CAF7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K_W05</w:t>
            </w:r>
          </w:p>
          <w:p w14:paraId="04441B3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K_U06,</w:t>
            </w:r>
          </w:p>
          <w:p w14:paraId="43D5746F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K_U10,</w:t>
            </w:r>
          </w:p>
        </w:tc>
      </w:tr>
      <w:tr w:rsidR="00E25E25" w:rsidRPr="00EA2B6F" w14:paraId="3CC6E69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971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7ED01" w14:textId="75C5BE5E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Posługuje się argumentacją prawniczą, interpretując i wyjaśniając znaczenie norm i stosunków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256B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K_U02,</w:t>
            </w:r>
          </w:p>
          <w:p w14:paraId="28F43CA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K_U13,</w:t>
            </w:r>
          </w:p>
        </w:tc>
      </w:tr>
      <w:tr w:rsidR="00E25E25" w:rsidRPr="00EA2B6F" w14:paraId="2AD6802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A3E7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A8FB5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Ma rozszerzoną wiedzę na temat zasad działania sądów administracyjnych, wyjaśnia znaczenie zasad ogólnych postępowania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7C2A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K_W01</w:t>
            </w:r>
          </w:p>
          <w:p w14:paraId="35B29D50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K_W03,</w:t>
            </w:r>
          </w:p>
          <w:p w14:paraId="2049E57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K_W05</w:t>
            </w:r>
          </w:p>
          <w:p w14:paraId="4DF4290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K_W09,</w:t>
            </w:r>
          </w:p>
        </w:tc>
      </w:tr>
      <w:tr w:rsidR="00E25E25" w:rsidRPr="00EA2B6F" w14:paraId="2B05E62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F421F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84C98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8F0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K_U09, </w:t>
            </w:r>
          </w:p>
          <w:p w14:paraId="53F8383C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K_U12,</w:t>
            </w:r>
          </w:p>
          <w:p w14:paraId="749248F5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K_K05,</w:t>
            </w:r>
          </w:p>
        </w:tc>
      </w:tr>
      <w:tr w:rsidR="00E25E25" w:rsidRPr="00EA2B6F" w14:paraId="0DD3B2D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C19E7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A6652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Rozwiązuje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227E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K_U03,</w:t>
            </w:r>
          </w:p>
          <w:p w14:paraId="7E7C1948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K_U08,</w:t>
            </w:r>
          </w:p>
          <w:p w14:paraId="79E2D35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K_K05,</w:t>
            </w:r>
          </w:p>
        </w:tc>
      </w:tr>
      <w:tr w:rsidR="00E25E25" w:rsidRPr="00EA2B6F" w14:paraId="255099CB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1898D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6A1B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wyjaśnia przesłanki podejmowania określonych 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CBDC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K_U01, </w:t>
            </w:r>
          </w:p>
          <w:p w14:paraId="46F7A3B8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K_U05</w:t>
            </w:r>
          </w:p>
        </w:tc>
      </w:tr>
      <w:tr w:rsidR="00E25E25" w:rsidRPr="00EA2B6F" w14:paraId="7C6F827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D35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AAB5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CB40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K_U15,</w:t>
            </w:r>
          </w:p>
          <w:p w14:paraId="53764CDC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E25E25" w:rsidRPr="00EA2B6F" w14:paraId="704B6585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FFD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DBF3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Podnosi i uzupełnia swoja wiedzę oraz doskonali umiejętności, mając świadomość zmienności przepisów procedury sądowo-administracyjnej.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F01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K_K01, K_U17</w:t>
            </w:r>
          </w:p>
        </w:tc>
      </w:tr>
      <w:tr w:rsidR="00E25E25" w:rsidRPr="00EA2B6F" w14:paraId="266A4E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8931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5E99B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9C0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eastAsia="Cambria" w:hAnsi="Corbel"/>
                <w:sz w:val="22"/>
                <w:szCs w:val="22"/>
              </w:rPr>
              <w:t xml:space="preserve">K_K06, </w:t>
            </w:r>
            <w:r w:rsidRPr="00EA2B6F">
              <w:rPr>
                <w:rFonts w:ascii="Corbel" w:hAnsi="Corbel"/>
                <w:sz w:val="22"/>
                <w:szCs w:val="22"/>
              </w:rPr>
              <w:t xml:space="preserve">K_W13 </w:t>
            </w:r>
          </w:p>
        </w:tc>
      </w:tr>
      <w:tr w:rsidR="00E25E25" w:rsidRPr="00EA2B6F" w14:paraId="448313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A999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F2440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rozróżnia kompetencje 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AB0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K_K04</w:t>
            </w:r>
          </w:p>
        </w:tc>
      </w:tr>
      <w:tr w:rsidR="00E25E25" w:rsidRPr="00EA2B6F" w14:paraId="34B00533" w14:textId="77777777" w:rsidTr="00977F3C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96337A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41BD8A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3877" w14:textId="46DD7B42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  <w:smallCaps/>
              </w:rPr>
              <w:t>K_U</w:t>
            </w:r>
            <w:r w:rsidR="008547DF" w:rsidRPr="00EA2B6F">
              <w:rPr>
                <w:rFonts w:ascii="Corbel" w:eastAsia="Cambria" w:hAnsi="Corbel"/>
                <w:smallCaps/>
              </w:rPr>
              <w:t>o</w:t>
            </w:r>
            <w:r w:rsidRPr="00EA2B6F">
              <w:rPr>
                <w:rFonts w:ascii="Corbel" w:eastAsia="Cambria" w:hAnsi="Corbel"/>
                <w:smallCaps/>
              </w:rPr>
              <w:t>4</w:t>
            </w:r>
          </w:p>
        </w:tc>
      </w:tr>
      <w:tr w:rsidR="00E25E25" w:rsidRPr="00EA2B6F" w14:paraId="56159537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4327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00CBE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99E2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K_K07,</w:t>
            </w:r>
          </w:p>
          <w:p w14:paraId="6C6D4A2A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37C3300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150A4CAE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72C5FB0" w14:textId="77777777" w:rsidR="00E25E25" w:rsidRPr="00EA2B6F" w:rsidRDefault="00E25E25" w:rsidP="00E25E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EA2B6F">
        <w:rPr>
          <w:rFonts w:ascii="Corbel" w:hAnsi="Corbel" w:cs="Corbel"/>
          <w:sz w:val="24"/>
          <w:szCs w:val="24"/>
        </w:rPr>
        <w:t xml:space="preserve">  </w:t>
      </w:r>
    </w:p>
    <w:p w14:paraId="0C5FD0C9" w14:textId="77777777" w:rsidR="00E25E25" w:rsidRPr="00EA2B6F" w:rsidRDefault="00E25E25" w:rsidP="00E25E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>Problematyka konwersatorium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E25E25" w:rsidRPr="00EA2B6F" w14:paraId="3C2409A0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820EC" w14:textId="77777777" w:rsidR="00E25E25" w:rsidRPr="00EA2B6F" w:rsidRDefault="00E25E25" w:rsidP="00977F3C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25E25" w:rsidRPr="00EA2B6F" w14:paraId="798C851F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1DC2" w14:textId="77777777" w:rsidR="00E25E25" w:rsidRPr="00EA2B6F" w:rsidRDefault="00E25E25" w:rsidP="00977F3C">
            <w:pPr>
              <w:autoSpaceDE w:val="0"/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 w:cs="Times-Roman"/>
              </w:rPr>
              <w:t>1.</w:t>
            </w:r>
            <w:r w:rsidRPr="00EA2B6F">
              <w:rPr>
                <w:rFonts w:ascii="Corbel" w:eastAsia="Cambria" w:hAnsi="Corbel"/>
                <w:i/>
              </w:rPr>
              <w:t xml:space="preserve"> Zasady ogólne postępowania sądowo-administracyjnego</w:t>
            </w:r>
            <w:r w:rsidRPr="00EA2B6F">
              <w:rPr>
                <w:rFonts w:ascii="Corbel" w:hAnsi="Corbel" w:cs="Times-Roman"/>
              </w:rPr>
              <w:t xml:space="preserve"> </w:t>
            </w:r>
          </w:p>
        </w:tc>
      </w:tr>
      <w:tr w:rsidR="00E25E25" w:rsidRPr="00EA2B6F" w14:paraId="7831BD79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FAD0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2. </w:t>
            </w:r>
            <w:r w:rsidRPr="00EA2B6F">
              <w:rPr>
                <w:rFonts w:ascii="Corbel" w:eastAsia="Cambria" w:hAnsi="Corbel"/>
                <w:i/>
              </w:rPr>
              <w:t>Zakres przedmiotowy i podmiotowy ustawy prawo o postępowaniu przed sądami administracyjnymi</w:t>
            </w:r>
          </w:p>
        </w:tc>
      </w:tr>
      <w:tr w:rsidR="00E25E25" w:rsidRPr="00EA2B6F" w14:paraId="2EAB9994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C8D7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3. </w:t>
            </w:r>
            <w:r w:rsidRPr="00EA2B6F">
              <w:rPr>
                <w:rFonts w:ascii="Corbel" w:eastAsia="Cambria" w:hAnsi="Corbel"/>
                <w:i/>
              </w:rPr>
              <w:t>Strony postępowania sądowo-administracyjnego</w:t>
            </w:r>
          </w:p>
        </w:tc>
      </w:tr>
      <w:tr w:rsidR="00E25E25" w:rsidRPr="00EA2B6F" w14:paraId="21AC851E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8275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4. </w:t>
            </w:r>
            <w:r w:rsidRPr="00EA2B6F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E25E25" w:rsidRPr="00EA2B6F" w14:paraId="0A2C0BDE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B95BB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5. </w:t>
            </w:r>
            <w:r w:rsidRPr="00EA2B6F">
              <w:rPr>
                <w:rFonts w:ascii="Corbel" w:eastAsia="Cambria" w:hAnsi="Corbel"/>
                <w:i/>
              </w:rPr>
              <w:t>Postępowanie przed wojewódzkimi sądami administracyjnymi</w:t>
            </w:r>
          </w:p>
        </w:tc>
      </w:tr>
      <w:tr w:rsidR="00E25E25" w:rsidRPr="00EA2B6F" w14:paraId="01656E07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EA89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6. </w:t>
            </w:r>
            <w:r w:rsidRPr="00EA2B6F">
              <w:rPr>
                <w:rFonts w:ascii="Corbel" w:eastAsia="Cambria" w:hAnsi="Corbel"/>
                <w:i/>
              </w:rPr>
              <w:t>Akty kończące postępowanie przed wojewódzkim sądem administracyjnym</w:t>
            </w:r>
          </w:p>
        </w:tc>
      </w:tr>
      <w:tr w:rsidR="00E25E25" w:rsidRPr="00EA2B6F" w14:paraId="06996D2A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B75E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7. </w:t>
            </w:r>
            <w:r w:rsidRPr="00EA2B6F">
              <w:rPr>
                <w:rFonts w:ascii="Corbel" w:eastAsia="Cambria" w:hAnsi="Corbel"/>
                <w:i/>
              </w:rPr>
              <w:t>Środki zaskarżenia</w:t>
            </w:r>
          </w:p>
        </w:tc>
      </w:tr>
      <w:tr w:rsidR="00E25E25" w:rsidRPr="00EA2B6F" w14:paraId="0BBC9180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A555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8. </w:t>
            </w:r>
            <w:r w:rsidRPr="00EA2B6F">
              <w:rPr>
                <w:rFonts w:ascii="Corbel" w:eastAsia="Cambria" w:hAnsi="Corbel"/>
                <w:i/>
              </w:rPr>
              <w:t>Postępowanie przed Naczelnym Sądem administracyjnym</w:t>
            </w:r>
          </w:p>
        </w:tc>
      </w:tr>
    </w:tbl>
    <w:p w14:paraId="4E397F23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bookmarkStart w:id="0" w:name="_GoBack"/>
      <w:bookmarkEnd w:id="0"/>
    </w:p>
    <w:p w14:paraId="0ECF4FB7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3.4 Metody dydaktyczne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4231C578" w14:textId="77777777" w:rsidR="00E25E25" w:rsidRPr="00EA2B6F" w:rsidRDefault="00E25E25" w:rsidP="00E25E25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0A7169F5" w14:textId="77777777" w:rsidR="00E25E25" w:rsidRPr="00EA2B6F" w:rsidRDefault="00E25E25" w:rsidP="00E25E25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EA2B6F">
        <w:rPr>
          <w:rFonts w:ascii="Corbel" w:hAnsi="Corbel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14:paraId="3BFA9BEB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83C5DE4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5EEAAD4C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C0722A9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/>
        </w:rPr>
      </w:pPr>
      <w:r w:rsidRPr="00EA2B6F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8C9965E" w14:textId="77777777" w:rsidR="00E25E25" w:rsidRPr="00EA2B6F" w:rsidRDefault="00E25E25" w:rsidP="00E25E2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E25E25" w:rsidRPr="00EA2B6F" w14:paraId="0C9A491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A806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  <w:r w:rsidRPr="00EA2B6F">
              <w:rPr>
                <w:rFonts w:ascii="Corbel" w:hAnsi="Corbel"/>
              </w:rPr>
              <w:t>Symbol efektu</w:t>
            </w:r>
          </w:p>
          <w:p w14:paraId="7A3D74C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72A0" w14:textId="1CEC6AF9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EA2B6F">
              <w:rPr>
                <w:rFonts w:ascii="Corbel" w:hAnsi="Corbel"/>
                <w:color w:val="000000"/>
              </w:rPr>
              <w:t xml:space="preserve">Metody oceny efektów </w:t>
            </w:r>
            <w:r w:rsidR="008547DF" w:rsidRPr="00EA2B6F">
              <w:rPr>
                <w:rFonts w:ascii="Corbel" w:hAnsi="Corbel"/>
                <w:color w:val="000000"/>
              </w:rPr>
              <w:t xml:space="preserve">uczenia się </w:t>
            </w:r>
          </w:p>
          <w:p w14:paraId="25FB1B8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D018" w14:textId="77777777" w:rsidR="008547DF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Forma zajęć dydaktycznych </w:t>
            </w:r>
          </w:p>
          <w:p w14:paraId="2D5AB9E5" w14:textId="3EBA72FB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(w, </w:t>
            </w:r>
            <w:proofErr w:type="spellStart"/>
            <w:r w:rsidRPr="00EA2B6F">
              <w:rPr>
                <w:rFonts w:ascii="Corbel" w:hAnsi="Corbel"/>
              </w:rPr>
              <w:t>ćw</w:t>
            </w:r>
            <w:proofErr w:type="spellEnd"/>
            <w:r w:rsidRPr="00EA2B6F">
              <w:rPr>
                <w:rFonts w:ascii="Corbel" w:hAnsi="Corbel"/>
              </w:rPr>
              <w:t>, …)</w:t>
            </w:r>
          </w:p>
        </w:tc>
      </w:tr>
      <w:tr w:rsidR="00E25E25" w:rsidRPr="00EA2B6F" w14:paraId="5FBE7E5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4C2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489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7DB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7E53B7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C30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739C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D3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3A54D5F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74ED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8B60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B9D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0B49EFD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C69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027C3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23C8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09BD3BB3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23C3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8CD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771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7C6E746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8034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30FB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A80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E84D3BA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56FE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lastRenderedPageBreak/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3104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CE2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AA90486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B7D8F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C9B8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ABC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18641FF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F85F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2FCD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9BEA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8C710D9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97B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7C51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97A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EE2EB1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E48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E16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4C1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330736C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2B2C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1E7F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BEC5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1A930E5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E24E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B526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AC4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07427A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A0FE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1B54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A89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29EA76B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3577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A037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32B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42928202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8207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26FF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1E7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2A9AE4D0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5FF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86D6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C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</w:tbl>
    <w:p w14:paraId="1348C121" w14:textId="77777777" w:rsidR="00E25E25" w:rsidRPr="00EA2B6F" w:rsidRDefault="00E25E25" w:rsidP="00E25E25">
      <w:pPr>
        <w:spacing w:after="0" w:line="240" w:lineRule="auto"/>
        <w:rPr>
          <w:rFonts w:ascii="Corbel" w:hAnsi="Corbel"/>
          <w:szCs w:val="24"/>
        </w:rPr>
      </w:pPr>
    </w:p>
    <w:p w14:paraId="6925BFFD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843452B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RPr="00EA2B6F" w14:paraId="010A2FC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A93B" w14:textId="6C10D214" w:rsidR="00E25E25" w:rsidRPr="00EA2B6F" w:rsidRDefault="00E25E25" w:rsidP="008547DF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konwersatorium wyniki zaliczenia przedmiotu ustalane są na podstawie pisemnych lub ustnych odpowiedzi (prac) 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7ED6A121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05AAA" w14:textId="77777777" w:rsidR="00E25E25" w:rsidRPr="00EA2B6F" w:rsidRDefault="00E25E25" w:rsidP="00E25E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D2EB86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E25E25" w:rsidRPr="00EA2B6F" w14:paraId="4909D907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3D42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F50E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5E25" w:rsidRPr="00EA2B6F" w14:paraId="232AC8B9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AB3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8C36" w14:textId="77777777" w:rsidR="00E25E25" w:rsidRPr="00EA2B6F" w:rsidRDefault="00E25E25" w:rsidP="00977F3C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EA2B6F">
              <w:rPr>
                <w:rFonts w:ascii="Corbel" w:hAnsi="Corbel"/>
                <w:smallCaps/>
                <w:kern w:val="1"/>
              </w:rPr>
              <w:t>Konwersatorium – 15 godz.</w:t>
            </w:r>
          </w:p>
          <w:p w14:paraId="1242AE70" w14:textId="77777777" w:rsidR="00E25E25" w:rsidRPr="00EA2B6F" w:rsidRDefault="00E25E25" w:rsidP="00977F3C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E25E25" w:rsidRPr="00EA2B6F" w14:paraId="0DC0114F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1702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3766B3C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CFE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EA2B6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RPr="00EA2B6F" w14:paraId="41D8D161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AF0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D9AB91D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8220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58 </w:t>
            </w:r>
            <w:r w:rsidRPr="00EA2B6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RPr="00EA2B6F" w14:paraId="6508AACD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4237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18DD" w14:textId="3ECD90CA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75 </w:t>
            </w:r>
          </w:p>
        </w:tc>
      </w:tr>
      <w:tr w:rsidR="00E25E25" w:rsidRPr="00EA2B6F" w14:paraId="59276DD4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D767B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17C4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58AD3D9F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EA2B6F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21F44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6A4F067" w14:textId="032ACBBA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6. PRAKTYKI ZAWODOWE W RAMACH PRZEDMIOTU</w:t>
      </w:r>
    </w:p>
    <w:p w14:paraId="30A78A7E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E25E25" w:rsidRPr="00EA2B6F" w14:paraId="0E6AA26B" w14:textId="77777777" w:rsidTr="00EA2B6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CCFB" w14:textId="77777777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7E6C" w14:textId="3C1D8CED" w:rsidR="00E25E25" w:rsidRPr="00EA2B6F" w:rsidRDefault="008547DF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25E25" w:rsidRPr="00EA2B6F" w14:paraId="7308661F" w14:textId="77777777" w:rsidTr="00EA2B6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AAA7" w14:textId="77777777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A2F5" w14:textId="2C3441AC" w:rsidR="00E25E25" w:rsidRPr="00EA2B6F" w:rsidRDefault="008547DF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429A4A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A25D96F" w14:textId="2B7632E9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7. LITERATURA </w:t>
      </w:r>
    </w:p>
    <w:p w14:paraId="091334EB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E25E25" w:rsidRPr="00EA2B6F" w14:paraId="1D3284FB" w14:textId="77777777" w:rsidTr="008547DF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AB0" w14:textId="788431C0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2757908" w14:textId="77777777" w:rsidR="008547DF" w:rsidRPr="00EA2B6F" w:rsidRDefault="008547DF" w:rsidP="00977F3C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338F5812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EA2B6F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E25E25" w:rsidRPr="00EA2B6F" w14:paraId="67EC5FBF" w14:textId="77777777" w:rsidTr="008547DF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4DE0" w14:textId="6FB0D922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6E86D427" w14:textId="77777777" w:rsidR="008547DF" w:rsidRPr="00EA2B6F" w:rsidRDefault="008547DF" w:rsidP="00977F3C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29CC6929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EA2B6F">
              <w:rPr>
                <w:rFonts w:ascii="Corbel" w:eastAsia="Cambria" w:hAnsi="Corbel"/>
                <w:i/>
                <w:kern w:val="1"/>
              </w:rPr>
              <w:t xml:space="preserve">M. Wierzbowski (red.), Postępowanie administracyjne i </w:t>
            </w:r>
            <w:proofErr w:type="spellStart"/>
            <w:r w:rsidRPr="00EA2B6F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EA2B6F">
              <w:rPr>
                <w:rFonts w:ascii="Corbel" w:eastAsia="Cambria" w:hAnsi="Corbel"/>
                <w:i/>
                <w:kern w:val="1"/>
              </w:rPr>
              <w:t>, Warszawa 2020 r.;</w:t>
            </w:r>
          </w:p>
          <w:p w14:paraId="21EB1B1E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EA2B6F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537C23D7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C77D60E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EA2B6F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7C5BC6F3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1F2BF3D8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43671D1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/>
        </w:rPr>
      </w:pPr>
      <w:r w:rsidRPr="00EA2B6F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6E581031" w14:textId="77777777" w:rsidR="00E25E25" w:rsidRPr="00EA2B6F" w:rsidRDefault="00E25E25">
      <w:pPr>
        <w:rPr>
          <w:rFonts w:ascii="Corbel" w:hAnsi="Corbel"/>
        </w:rPr>
      </w:pPr>
    </w:p>
    <w:sectPr w:rsidR="00E25E25" w:rsidRPr="00EA2B6F" w:rsidSect="00EA2B6F">
      <w:pgSz w:w="11906" w:h="16838"/>
      <w:pgMar w:top="1134" w:right="1134" w:bottom="851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E25"/>
    <w:rsid w:val="004D37F1"/>
    <w:rsid w:val="0058160E"/>
    <w:rsid w:val="008547DF"/>
    <w:rsid w:val="00C6523A"/>
    <w:rsid w:val="00E25E25"/>
    <w:rsid w:val="00E81E3B"/>
    <w:rsid w:val="00EA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58B4"/>
  <w15:chartTrackingRefBased/>
  <w15:docId w15:val="{A5CEABC1-241B-B44F-B018-49BEE8BC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5E25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25E25"/>
    <w:pPr>
      <w:ind w:left="720"/>
    </w:pPr>
  </w:style>
  <w:style w:type="paragraph" w:customStyle="1" w:styleId="Punktygwne">
    <w:name w:val="Punkty główne"/>
    <w:basedOn w:val="Normalny"/>
    <w:rsid w:val="00E25E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25E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E25E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25E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Nagwkitablic">
    <w:name w:val="Nagłówki tablic"/>
    <w:basedOn w:val="Tekstpodstawowy"/>
    <w:rsid w:val="00E25E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5E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E25E25"/>
    <w:pPr>
      <w:suppressAutoHyphens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E25E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5E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5E25"/>
    <w:rPr>
      <w:rFonts w:ascii="Calibri" w:eastAsia="Calibri" w:hAnsi="Calibri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571</dc:creator>
  <cp:keywords/>
  <dc:description/>
  <cp:lastModifiedBy>Pikus Anna</cp:lastModifiedBy>
  <cp:revision>6</cp:revision>
  <dcterms:created xsi:type="dcterms:W3CDTF">2021-10-26T07:31:00Z</dcterms:created>
  <dcterms:modified xsi:type="dcterms:W3CDTF">2022-02-08T12:23:00Z</dcterms:modified>
</cp:coreProperties>
</file>